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C77F" w14:textId="5F1E31A2" w:rsidR="006D566A" w:rsidRDefault="006D566A" w:rsidP="000D55C6">
      <w:pPr>
        <w:pStyle w:val="NormalWeb"/>
      </w:pPr>
      <w:r>
        <w:t>Reference is provided below , 200 words, cite your answers.</w:t>
      </w:r>
      <w:bookmarkStart w:id="0" w:name="_GoBack"/>
      <w:bookmarkEnd w:id="0"/>
    </w:p>
    <w:p w14:paraId="6A87B686" w14:textId="77777777" w:rsidR="006D566A" w:rsidRDefault="006D566A" w:rsidP="000D55C6">
      <w:pPr>
        <w:pStyle w:val="NormalWeb"/>
      </w:pPr>
    </w:p>
    <w:p w14:paraId="04546A92" w14:textId="7F333511" w:rsidR="000D55C6" w:rsidRDefault="000D55C6" w:rsidP="000D55C6">
      <w:pPr>
        <w:pStyle w:val="NormalWeb"/>
      </w:pPr>
      <w:r>
        <w:t>1. How does net cash flow differ from net income and why is that difference relevant to financial decision making?</w:t>
      </w:r>
    </w:p>
    <w:p w14:paraId="69B57AA7" w14:textId="77777777" w:rsidR="000D55C6" w:rsidRDefault="000D55C6" w:rsidP="000D55C6">
      <w:pPr>
        <w:pStyle w:val="NormalWeb"/>
      </w:pPr>
      <w:r>
        <w:t>2. With regard to tax purposes, which type of depreciation methods do organizations prefer and why?</w:t>
      </w:r>
    </w:p>
    <w:p w14:paraId="1D03F99A" w14:textId="77777777" w:rsidR="000D55C6" w:rsidRDefault="000D55C6" w:rsidP="000D55C6">
      <w:pPr>
        <w:pStyle w:val="NormalWeb"/>
      </w:pPr>
      <w:r>
        <w:t>References</w:t>
      </w:r>
    </w:p>
    <w:p w14:paraId="3C8B3F1E" w14:textId="77777777" w:rsidR="000D55C6" w:rsidRDefault="000D55C6" w:rsidP="000D55C6">
      <w:pPr>
        <w:pStyle w:val="NormalWeb"/>
      </w:pPr>
      <w:r>
        <w:t xml:space="preserve">Tuner, J. A. (2016). Net Operating Working Capital, Capital Budgeting, and Cash Budgets: A Teaching Example. American Journal of Business Education, 9(1), 15–22. Retrieved from: </w:t>
      </w:r>
      <w:hyperlink r:id="rId4" w:history="1">
        <w:r>
          <w:rPr>
            <w:rStyle w:val="Hyperlink"/>
          </w:rPr>
          <w:t>https://eric-ed-gov.ezproxy.umuc.edu/contentdelivery/servlet/ERICServlet?accno=EJ1088192</w:t>
        </w:r>
      </w:hyperlink>
    </w:p>
    <w:p w14:paraId="45014840" w14:textId="77777777" w:rsidR="000D55C6" w:rsidRDefault="000D55C6" w:rsidP="000D55C6">
      <w:pPr>
        <w:pStyle w:val="NormalWeb"/>
      </w:pPr>
      <w:r>
        <w:t xml:space="preserve">Investopedia. (2019). What is the best method of calculating depreciation for tax reporting </w:t>
      </w:r>
      <w:proofErr w:type="gramStart"/>
      <w:r>
        <w:t>purposes.</w:t>
      </w:r>
      <w:proofErr w:type="gramEnd"/>
      <w:r>
        <w:t xml:space="preserve"> Retrieved from: </w:t>
      </w:r>
      <w:hyperlink r:id="rId5" w:history="1">
        <w:r>
          <w:rPr>
            <w:rStyle w:val="Hyperlink"/>
          </w:rPr>
          <w:t>https://www.investopedia.com/ask/answers/013015/what-best-method-calculating-depreciation-tax-reporting-purposes.asp</w:t>
        </w:r>
      </w:hyperlink>
    </w:p>
    <w:p w14:paraId="624573DD" w14:textId="77777777" w:rsidR="007615BF" w:rsidRDefault="006D566A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C6"/>
    <w:rsid w:val="000D55C6"/>
    <w:rsid w:val="00580681"/>
    <w:rsid w:val="006D566A"/>
    <w:rsid w:val="0072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47D1B0"/>
  <w15:chartTrackingRefBased/>
  <w15:docId w15:val="{396412EC-38BF-8049-8DAB-34929AFE2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D55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0D55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8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vestopedia.com/ask/answers/013015/what-best-method-calculating-depreciation-tax-reporting-purposes.asp" TargetMode="External"/><Relationship Id="rId4" Type="http://schemas.openxmlformats.org/officeDocument/2006/relationships/hyperlink" Target="https://eric-ed-gov.ezproxy.umuc.edu/contentdelivery/servlet/ERICServlet?accno=EJ10881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2</cp:revision>
  <dcterms:created xsi:type="dcterms:W3CDTF">2020-02-20T12:59:00Z</dcterms:created>
  <dcterms:modified xsi:type="dcterms:W3CDTF">2020-02-20T12:59:00Z</dcterms:modified>
</cp:coreProperties>
</file>